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9" w:rsidRPr="00217021" w:rsidRDefault="00217021" w:rsidP="00FD70F9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ინფორმაცია პრეგაბალინზე</w:t>
      </w:r>
    </w:p>
    <w:p w:rsidR="005417E3" w:rsidRDefault="00217021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პრეგაბალინი წარმოადგენს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ნივთიერება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, რომლის </w:t>
      </w:r>
      <w:r w:rsidR="00B2421E" w:rsidRPr="00B2421E">
        <w:rPr>
          <w:rFonts w:ascii="Sylfaen" w:hAnsi="Sylfaen" w:cs="Sylfaen"/>
          <w:sz w:val="24"/>
          <w:szCs w:val="24"/>
          <w:lang w:val="ka-GE"/>
        </w:rPr>
        <w:t>უკანონო ბრუნვა და ავად მოხმარება სერიოზულ საფრთხეს უქმნიდა მოსახლეობის ჯანმრთელობას</w:t>
      </w:r>
      <w:r>
        <w:rPr>
          <w:rFonts w:ascii="Sylfaen" w:hAnsi="Sylfaen" w:cs="Sylfaen"/>
          <w:sz w:val="24"/>
          <w:szCs w:val="24"/>
          <w:lang w:val="ka-GE"/>
        </w:rPr>
        <w:t xml:space="preserve">. მოქმედი რეგულაციების თანახმად, 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პრეგაბალინი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მიეკუთვნება </w:t>
      </w:r>
      <w:r w:rsidR="00BA5A39" w:rsidRPr="00BA5A39">
        <w:rPr>
          <w:rFonts w:ascii="Sylfaen" w:eastAsiaTheme="minorEastAsia" w:hAnsi="Sylfaen" w:cs="Sylfaen"/>
          <w:sz w:val="24"/>
          <w:szCs w:val="24"/>
          <w:lang w:val="ka-GE"/>
        </w:rPr>
        <w:t xml:space="preserve">ნარკოტიკული საშუალებების, ფსიქოტროპული ნივთიერებების, </w:t>
      </w:r>
      <w:r w:rsidR="00BA5A39" w:rsidRPr="005417E3">
        <w:rPr>
          <w:rFonts w:ascii="Sylfaen" w:eastAsiaTheme="minorEastAsia" w:hAnsi="Sylfaen" w:cs="Sylfaen"/>
          <w:sz w:val="24"/>
          <w:szCs w:val="24"/>
          <w:lang w:val="ka-GE"/>
        </w:rPr>
        <w:t>პრეკურსორებისა და ნარკოლოგიური დახმარების შესახებ</w:t>
      </w:r>
      <w:r w:rsidR="00BA5A39" w:rsidRPr="005417E3">
        <w:rPr>
          <w:rFonts w:ascii="Sylfaen" w:hAnsi="Sylfaen" w:cs="Sylfaen"/>
          <w:lang w:val="ka-GE"/>
        </w:rPr>
        <w:t xml:space="preserve"> კანონით განსაზღვრულ მე-3 სიას - </w:t>
      </w:r>
      <w:r w:rsidR="00BA5A39" w:rsidRPr="005417E3">
        <w:rPr>
          <w:rFonts w:ascii="Sylfaen" w:eastAsia="Times New Roman" w:hAnsi="Sylfaen" w:cs="Sylfaen"/>
          <w:bCs/>
          <w:noProof/>
        </w:rPr>
        <w:t>ფსიქოტროპულ ნივთიერებებ</w:t>
      </w:r>
      <w:r w:rsidR="005417E3" w:rsidRPr="005417E3">
        <w:rPr>
          <w:rFonts w:ascii="Sylfaen" w:eastAsia="Times New Roman" w:hAnsi="Sylfaen" w:cs="Sylfaen"/>
          <w:bCs/>
          <w:noProof/>
          <w:lang w:val="ka-GE"/>
        </w:rPr>
        <w:t>ს.</w:t>
      </w:r>
      <w:r w:rsidR="005417E3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</w:p>
    <w:p w:rsidR="005417E3" w:rsidRDefault="005417E3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5417E3">
        <w:rPr>
          <w:rFonts w:ascii="Sylfaen" w:eastAsia="Times New Roman" w:hAnsi="Sylfaen" w:cs="Sylfaen"/>
          <w:bCs/>
          <w:noProof/>
          <w:lang w:val="ka-GE"/>
        </w:rPr>
        <w:t xml:space="preserve">ამავე კანონით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დგინდება </w:t>
      </w:r>
      <w:r w:rsidRPr="005417E3">
        <w:rPr>
          <w:rFonts w:ascii="Sylfaen" w:eastAsia="Times New Roman" w:hAnsi="Sylfaen" w:cs="Sylfaen"/>
          <w:bCs/>
          <w:noProof/>
        </w:rPr>
        <w:t>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მცირე, დიდი და განსაკუთრებით დიდი ოდენობების ნუსხა</w:t>
      </w:r>
      <w:r w:rsidR="00BC3D14">
        <w:rPr>
          <w:rFonts w:ascii="Sylfaen" w:eastAsia="Times New Roman" w:hAnsi="Sylfaen" w:cs="Sylfaen"/>
          <w:bCs/>
          <w:noProof/>
          <w:lang w:val="ka-GE"/>
        </w:rPr>
        <w:t>, შესაბამის დანაშაულზე გათვალის</w:t>
      </w:r>
      <w:r>
        <w:rPr>
          <w:rFonts w:ascii="Sylfaen" w:eastAsia="Times New Roman" w:hAnsi="Sylfaen" w:cs="Sylfaen"/>
          <w:bCs/>
          <w:noProof/>
          <w:lang w:val="ka-GE"/>
        </w:rPr>
        <w:t>წ</w:t>
      </w:r>
      <w:r w:rsidR="00BC3D14">
        <w:rPr>
          <w:rFonts w:ascii="Sylfaen" w:eastAsia="Times New Roman" w:hAnsi="Sylfaen" w:cs="Sylfaen"/>
          <w:bCs/>
          <w:noProof/>
          <w:lang w:val="ka-GE"/>
        </w:rPr>
        <w:t>ი</w:t>
      </w:r>
      <w:r>
        <w:rPr>
          <w:rFonts w:ascii="Sylfaen" w:eastAsia="Times New Roman" w:hAnsi="Sylfaen" w:cs="Sylfaen"/>
          <w:bCs/>
          <w:noProof/>
          <w:lang w:val="ka-GE"/>
        </w:rPr>
        <w:t xml:space="preserve">ნებულია სისხლის სამართლის პასუხისმგებლობა. </w:t>
      </w:r>
    </w:p>
    <w:p w:rsidR="005417E3" w:rsidRDefault="005417E3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პრეგაბალინის არამიზნობრივი გამოყენების პრობლემა იმდენად მწავევ ხასიათის იყო, რომ </w:t>
      </w:r>
      <w:r w:rsidR="00BC3D14">
        <w:rPr>
          <w:rFonts w:ascii="Sylfaen" w:eastAsia="Times New Roman" w:hAnsi="Sylfaen" w:cs="Sylfaen"/>
          <w:bCs/>
          <w:noProof/>
          <w:lang w:val="ka-GE"/>
        </w:rPr>
        <w:t>სისხლის სამართლის პასუხისმგებლ</w:t>
      </w:r>
      <w:r w:rsidR="0057293F">
        <w:rPr>
          <w:rFonts w:ascii="Sylfaen" w:eastAsia="Times New Roman" w:hAnsi="Sylfaen" w:cs="Sylfaen"/>
          <w:bCs/>
          <w:noProof/>
          <w:lang w:val="ka-GE"/>
        </w:rPr>
        <w:t xml:space="preserve">ობა დგება არამარტო სუფთა ნივთიერების შესაბამის </w:t>
      </w:r>
      <w:r w:rsidR="00BC3D14">
        <w:rPr>
          <w:rFonts w:ascii="Sylfaen" w:eastAsia="Times New Roman" w:hAnsi="Sylfaen" w:cs="Sylfaen"/>
          <w:bCs/>
          <w:noProof/>
          <w:lang w:val="ka-GE"/>
        </w:rPr>
        <w:t>ოდენობებ</w:t>
      </w:r>
      <w:r w:rsidR="0057293F">
        <w:rPr>
          <w:rFonts w:ascii="Sylfaen" w:eastAsia="Times New Roman" w:hAnsi="Sylfaen" w:cs="Sylfaen"/>
          <w:bCs/>
          <w:noProof/>
          <w:lang w:val="ka-GE"/>
        </w:rPr>
        <w:t>ზე</w:t>
      </w:r>
      <w:r w:rsidR="00BC3D14">
        <w:rPr>
          <w:rFonts w:ascii="Sylfaen" w:eastAsia="Times New Roman" w:hAnsi="Sylfaen" w:cs="Sylfaen"/>
          <w:bCs/>
          <w:noProof/>
          <w:lang w:val="ka-GE"/>
        </w:rPr>
        <w:t xml:space="preserve">, არამედ წამლის ფორმის შემთხვევაშიც. </w:t>
      </w:r>
    </w:p>
    <w:p w:rsidR="00D035DC" w:rsidRDefault="0057293F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სააგენტოში არსებული სტატისტიკური მონაცემებით, პრეგაბალინის იმპორტმა პიკს მიაღწია სწორედ 2012 წელს და შეადგინა 215 კგ. 2012 წელს კანონში შესაბამისი ცვლილებების შეტანის შემდეგ (</w:t>
      </w:r>
      <w:r w:rsidR="00D035DC">
        <w:rPr>
          <w:rFonts w:ascii="Sylfaen" w:eastAsia="Times New Roman" w:hAnsi="Sylfaen" w:cs="Sylfaen"/>
          <w:bCs/>
          <w:noProof/>
          <w:lang w:val="ka-GE"/>
        </w:rPr>
        <w:t>უკანონო ფლობა/რეალიზაციის შემთხვევაში (წამლის ფორმების ჩათვლით), ოდენობების მიხედვით, გათვალისწინებულია სისხლის სამართლის პასუხისმგებლობა)</w:t>
      </w:r>
      <w:r>
        <w:rPr>
          <w:rFonts w:ascii="Sylfaen" w:eastAsia="Times New Roman" w:hAnsi="Sylfaen" w:cs="Sylfaen"/>
          <w:bCs/>
          <w:noProof/>
          <w:lang w:val="ka-GE"/>
        </w:rPr>
        <w:t>, 2013  და 2014 წლებში პრეგაბალინის იმპორტი არ განხორციელებულა</w:t>
      </w:r>
      <w:r w:rsidR="00D035DC">
        <w:rPr>
          <w:rFonts w:ascii="Sylfaen" w:eastAsia="Times New Roman" w:hAnsi="Sylfaen" w:cs="Sylfaen"/>
          <w:bCs/>
          <w:noProof/>
          <w:lang w:val="ka-GE"/>
        </w:rPr>
        <w:t xml:space="preserve">, ხოლო მისი მოხმარება 2014-2017 წწ განმავლობაში, დინამიური, თუმცა სტაბილური იყო, რაც ასახულია  გრაფიკში. </w:t>
      </w:r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2018 წელს აღინიშნებოდა მზარდი დინამიკა: იმპორტირებული იქნა 108 კგ პრეგაბალინი, ხოლო  მოხმარებამ ქვეყანაში მიაღწია 112,5 კგ-ს. </w:t>
      </w:r>
    </w:p>
    <w:p w:rsidR="0058299B" w:rsidRDefault="0058299B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პრეგაბალინის იმპორტის და მოხმარების დინამიკა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Pr="00217021">
        <w:rPr>
          <w:rFonts w:ascii="Sylfaen" w:eastAsia="Times New Roman" w:hAnsi="Sylfaen" w:cs="Sylfaen"/>
          <w:b/>
          <w:bCs/>
          <w:noProof/>
          <w:lang w:val="ka-GE"/>
        </w:rPr>
        <w:t>2011 წლიდან დღემდე</w:t>
      </w:r>
    </w:p>
    <w:p w:rsidR="0058299B" w:rsidRDefault="00E662F9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58299B">
        <w:rPr>
          <w:rFonts w:ascii="Sylfaen" w:eastAsia="Times New Roman" w:hAnsi="Sylfaen" w:cs="Sylfaen"/>
          <w:bCs/>
          <w:noProof/>
        </w:rPr>
        <w:drawing>
          <wp:inline distT="0" distB="0" distL="0" distR="0" wp14:anchorId="4B71F3BF" wp14:editId="6DA0CFE2">
            <wp:extent cx="6829425" cy="39909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299B" w:rsidRDefault="0058299B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p w:rsidR="00E662F9" w:rsidRDefault="00E662F9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:rsidR="001D3939" w:rsidRDefault="0058299B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2019 წლის მონაცემები კი მიუთითებს მკვეთრ ცვლილებაზე იმპორტის მოცულობის თვალსაზრისით (</w:t>
      </w:r>
      <w:r w:rsidRPr="001D3939">
        <w:rPr>
          <w:rFonts w:ascii="Sylfaen" w:eastAsia="Times New Roman" w:hAnsi="Sylfaen" w:cs="Sylfaen"/>
          <w:b/>
          <w:bCs/>
          <w:noProof/>
          <w:lang w:val="ka-GE"/>
        </w:rPr>
        <w:t>2019 წლის მოხმარება მოიცავს წლის ორ კვარტალს</w:t>
      </w:r>
      <w:r>
        <w:rPr>
          <w:rFonts w:ascii="Sylfaen" w:eastAsia="Times New Roman" w:hAnsi="Sylfaen" w:cs="Sylfaen"/>
          <w:b/>
          <w:bCs/>
          <w:noProof/>
          <w:lang w:val="ka-GE"/>
        </w:rPr>
        <w:t>):</w:t>
      </w:r>
    </w:p>
    <w:p w:rsidR="0058299B" w:rsidRPr="0058299B" w:rsidRDefault="0058299B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2019 წ</w:t>
      </w:r>
      <w:r w:rsidR="001D0FAF" w:rsidRPr="001D3939">
        <w:rPr>
          <w:rFonts w:ascii="Sylfaen" w:eastAsia="Times New Roman" w:hAnsi="Sylfaen" w:cs="Sylfaen"/>
          <w:b/>
          <w:bCs/>
          <w:noProof/>
          <w:lang w:val="ka-GE"/>
        </w:rPr>
        <w:t>ელს უკვე იმპორტირებულია 126 444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,2 </w:t>
      </w:r>
      <w:r w:rsidR="001D0FAF" w:rsidRPr="001D3939">
        <w:rPr>
          <w:rFonts w:ascii="Sylfaen" w:eastAsia="Times New Roman" w:hAnsi="Sylfaen" w:cs="Sylfaen"/>
          <w:b/>
          <w:bCs/>
          <w:noProof/>
          <w:lang w:val="ka-GE"/>
        </w:rPr>
        <w:t xml:space="preserve"> გრამი; </w:t>
      </w:r>
    </w:p>
    <w:p w:rsidR="0058299B" w:rsidRPr="0058299B" w:rsidRDefault="001D0FAF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 w:rsidRPr="0058299B">
        <w:rPr>
          <w:rFonts w:ascii="Sylfaen" w:eastAsia="Times New Roman" w:hAnsi="Sylfaen" w:cs="Sylfaen"/>
          <w:b/>
          <w:bCs/>
          <w:noProof/>
          <w:lang w:val="ka-GE"/>
        </w:rPr>
        <w:t>დღეის მდგომარეობით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 იმპორტის მიზნით 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დამატებით 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მოთხოვნილი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>ა  129 კგ  პრეგაბალინზე წინასწარი შეთანხმების დოკუმენტი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;</w:t>
      </w:r>
    </w:p>
    <w:p w:rsidR="001D3939" w:rsidRPr="0058299B" w:rsidRDefault="001D3939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 w:rsidRPr="0058299B">
        <w:rPr>
          <w:rFonts w:ascii="Sylfaen" w:eastAsia="Times New Roman" w:hAnsi="Sylfaen" w:cs="Sylfaen"/>
          <w:b/>
          <w:bCs/>
          <w:noProof/>
          <w:lang w:val="ka-GE"/>
        </w:rPr>
        <w:t xml:space="preserve"> 2019 წელს, ინსპექტირების შედეგად ჩამორთმეულია 32 793. 6 გრამი პრეგაბალინი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 (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სასამართლო პროცესი არ  ჩატარებულა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>)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;</w:t>
      </w:r>
    </w:p>
    <w:p w:rsidR="00E662F9" w:rsidRDefault="00E662F9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1D0FAF">
        <w:rPr>
          <w:rFonts w:ascii="Sylfaen" w:eastAsia="Times New Roman" w:hAnsi="Sylfaen" w:cs="Sylfaen"/>
          <w:bCs/>
          <w:noProof/>
          <w:lang w:val="ka-GE"/>
        </w:rPr>
        <w:t>ვინაიდან პრეგაბალინზე არც საერთაშორისო კონტროლი არ ვრცელდება და არც  წლიური კვოტაა დადგენილი,  იმპორტის შემზღუდავი ბერკეტი  არ არსებობს</w:t>
      </w:r>
      <w:r>
        <w:rPr>
          <w:rFonts w:ascii="Sylfaen" w:eastAsia="Times New Roman" w:hAnsi="Sylfaen" w:cs="Sylfaen"/>
          <w:bCs/>
          <w:noProof/>
          <w:lang w:val="ka-GE"/>
        </w:rPr>
        <w:t xml:space="preserve"> და </w:t>
      </w:r>
      <w:r w:rsidR="002E51F3"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სააგენტოს არ გააჩნია განაცხად</w:t>
      </w:r>
      <w:r>
        <w:rPr>
          <w:rFonts w:ascii="Sylfaen" w:eastAsia="Times New Roman" w:hAnsi="Sylfaen" w:cs="Sylfaen"/>
          <w:bCs/>
          <w:noProof/>
          <w:lang w:val="ka-GE"/>
        </w:rPr>
        <w:t>ებ</w:t>
      </w:r>
      <w:r w:rsidR="002E51F3">
        <w:rPr>
          <w:rFonts w:ascii="Sylfaen" w:eastAsia="Times New Roman" w:hAnsi="Sylfaen" w:cs="Sylfaen"/>
          <w:bCs/>
          <w:noProof/>
          <w:lang w:val="ka-GE"/>
        </w:rPr>
        <w:t>ის დაკმაყოფილებაზე უარის თქმის იურიდიული საფუძვლები</w:t>
      </w:r>
      <w:r>
        <w:rPr>
          <w:rFonts w:ascii="Sylfaen" w:eastAsia="Times New Roman" w:hAnsi="Sylfaen" w:cs="Sylfaen"/>
          <w:bCs/>
          <w:noProof/>
          <w:lang w:val="ka-GE"/>
        </w:rPr>
        <w:t xml:space="preserve">, შესაბამისად, წინასწარი შეთანხმების დოკუმენტების გაცემის შემდეგ ქვეყანაში 2019 წლის განმავლობაში  ჯამურად შემოვა 255 კგ-დე  პრეგაბალინი - 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ეს კი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საგრძნობლად </w:t>
      </w:r>
      <w:r>
        <w:rPr>
          <w:rFonts w:ascii="Sylfaen" w:eastAsia="Times New Roman" w:hAnsi="Sylfaen" w:cs="Sylfaen"/>
          <w:bCs/>
          <w:noProof/>
          <w:lang w:val="ka-GE"/>
        </w:rPr>
        <w:t>აღემატება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 2012 წელს იმპორტირებულ  პიკურ რაოდენობას, როდესაც პრეგაბალინის უკანონო ბრუნვა და ავად მოხმარება უმწვავეს პრობლემას წარმოადგენდა. </w:t>
      </w:r>
    </w:p>
    <w:p w:rsidR="002E51F3" w:rsidRDefault="001D0FAF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ასევე, გასათვალისწინებელია, რომ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წლის ბოლომდე დარჩენილია თითქმის </w:t>
      </w:r>
      <w:r>
        <w:rPr>
          <w:rFonts w:ascii="Sylfaen" w:eastAsia="Times New Roman" w:hAnsi="Sylfaen" w:cs="Sylfaen"/>
          <w:bCs/>
          <w:noProof/>
          <w:lang w:val="ka-GE"/>
        </w:rPr>
        <w:t>5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 თვე და შეუძლებელია იმის განჭვრეტა თუ კიდევ რა რაოდენობაზე შემოვა სააგენტოში განაცხადები.</w:t>
      </w:r>
      <w:r w:rsidR="002E51F3">
        <w:rPr>
          <w:rFonts w:ascii="Sylfaen" w:eastAsia="Times New Roman" w:hAnsi="Sylfaen" w:cs="Sylfaen"/>
          <w:bCs/>
          <w:noProof/>
          <w:lang w:val="ka-GE"/>
        </w:rPr>
        <w:t xml:space="preserve"> </w:t>
      </w:r>
    </w:p>
    <w:p w:rsidR="00B35604" w:rsidRDefault="008E7EB2" w:rsidP="008E7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სააგენტოს მიერ ფარმაცევტულ ბაზარზე ზედამხედველობის ღონისძიებების ფარგლებში, მუდმივად ხორციელდება პრეგაბალინის ლეგალურ ბრუნვაზე კონტროლი და აღინიშნება, რომ პრეგაბალინის რეალიზება  ხდება ექიმის მიერ გამოწერილი რეცეპტების საფუძველზე და  ურეცეპტოდ გაცემის ფაქტები</w:t>
      </w:r>
      <w:r w:rsidR="002702F6">
        <w:rPr>
          <w:rFonts w:ascii="Sylfaen" w:eastAsia="Times New Roman" w:hAnsi="Sylfaen" w:cs="Sylfaen"/>
          <w:bCs/>
          <w:noProof/>
          <w:lang w:val="ka-GE"/>
        </w:rPr>
        <w:t xml:space="preserve">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თითქმის </w:t>
      </w:r>
      <w:r w:rsidR="002702F6">
        <w:rPr>
          <w:rFonts w:ascii="Sylfaen" w:eastAsia="Times New Roman" w:hAnsi="Sylfaen" w:cs="Sylfaen"/>
          <w:bCs/>
          <w:noProof/>
          <w:lang w:val="ka-GE"/>
        </w:rPr>
        <w:t>არ ფიქსირდება</w:t>
      </w:r>
      <w:r>
        <w:rPr>
          <w:rFonts w:ascii="Sylfaen" w:eastAsia="Times New Roman" w:hAnsi="Sylfaen" w:cs="Sylfaen"/>
          <w:bCs/>
          <w:noProof/>
          <w:lang w:val="ka-GE"/>
        </w:rPr>
        <w:t xml:space="preserve">. </w:t>
      </w:r>
    </w:p>
    <w:p w:rsidR="00E662F9" w:rsidRDefault="00B35604" w:rsidP="008E7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ამავე დროს სახეზეა მზარდი მოხმარება და აქტუალურ თემას წარმოადგენს ექიმების მიერ პრეგაბალინის დანიშვნის დინამიკის ზრდის საკითხის შესწავლა, რასაც ამჟამად ახორციელებს რეგულირებეის სააგენტო. პარალელურად </w:t>
      </w:r>
      <w:r w:rsidR="00E662F9">
        <w:rPr>
          <w:rFonts w:ascii="Sylfaen" w:eastAsia="Times New Roman" w:hAnsi="Sylfaen" w:cs="Sylfaen"/>
          <w:bCs/>
          <w:noProof/>
          <w:lang w:val="ka-GE"/>
        </w:rPr>
        <w:t>სამინისტროს ჯანდაცვის დეპარტამენტის მიერ მოწვეული იყ</w:t>
      </w:r>
      <w:r>
        <w:rPr>
          <w:rFonts w:ascii="Sylfaen" w:eastAsia="Times New Roman" w:hAnsi="Sylfaen" w:cs="Sylfaen"/>
          <w:bCs/>
          <w:noProof/>
          <w:lang w:val="ka-GE"/>
        </w:rPr>
        <w:t>ვნენ</w:t>
      </w:r>
      <w:r w:rsidR="00E662F9">
        <w:rPr>
          <w:rFonts w:ascii="Sylfaen" w:eastAsia="Times New Roman" w:hAnsi="Sylfaen" w:cs="Sylfaen"/>
          <w:bCs/>
          <w:noProof/>
          <w:lang w:val="ka-GE"/>
        </w:rPr>
        <w:t xml:space="preserve"> ნევროლოგთა ასოციაციის წარმომადგენლები, რომლებმაც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იმსჯელეს ქვეყანაში პრეგაბალინის დანიშვნის პრაქტიკაზე და ამ ნივთიერებების მნიშვნელობაზე სხვადასხვა დაავადებების მართვისას.  </w:t>
      </w:r>
    </w:p>
    <w:p w:rsidR="00FB3744" w:rsidRDefault="00B35604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მიუხედავად იმისა, რომ აღნიშნული ნივთიერების შემცველი პრეპარატები,  საერთაშორისო კვლევების თანახმად, ჭარბად ინიშნება მთელი მსოფლიოს მასშტაბით,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საერთაშორისო დონეზე სიტუაცია არ არის მიჩნეული საგანგაშოდ, თუმცა საქართველოს ამ მხრივ გაცილებით მძიმე გამოცდილება აქვს და  პრეგაბალინის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იმპორტზე მკვეთრად გაზრდილი მოთხოვნის გათვალისწინებით,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მიზანშეწონილია დამატებითი პრევენციული ბერკეტის  ამოქმედება - ქვეყნის შიდა კვოტის დადგენა.  </w:t>
      </w:r>
    </w:p>
    <w:p w:rsidR="00566DDA" w:rsidRDefault="00566DDA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</w:rPr>
      </w:pPr>
    </w:p>
    <w:p w:rsidR="00566DDA" w:rsidRPr="00566DDA" w:rsidRDefault="00566DDA" w:rsidP="00566D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  <w:r w:rsidRPr="00566DDA">
        <w:rPr>
          <w:rFonts w:ascii="Sylfaen" w:eastAsia="Times New Roman" w:hAnsi="Sylfaen" w:cs="Sylfaen"/>
          <w:b/>
          <w:bCs/>
          <w:noProof/>
          <w:lang w:val="ka-GE"/>
        </w:rPr>
        <w:t xml:space="preserve">სავარაუდო კვოტა </w:t>
      </w:r>
      <w:r w:rsidR="00A72494">
        <w:rPr>
          <w:rFonts w:ascii="Sylfaen" w:eastAsia="Times New Roman" w:hAnsi="Sylfaen" w:cs="Sylfaen"/>
          <w:b/>
          <w:bCs/>
          <w:noProof/>
          <w:lang w:val="ka-GE"/>
        </w:rPr>
        <w:t>2018-2019 (2 კვარტალი) წ</w:t>
      </w:r>
      <w:r w:rsidR="00A72494">
        <w:rPr>
          <w:rFonts w:ascii="Sylfaen" w:eastAsia="Times New Roman" w:hAnsi="Sylfaen" w:cs="Sylfaen"/>
          <w:b/>
          <w:bCs/>
          <w:noProof/>
          <w:lang w:val="ka-GE"/>
        </w:rPr>
        <w:t xml:space="preserve">ლების </w:t>
      </w:r>
      <w:r w:rsidRPr="00566DDA">
        <w:rPr>
          <w:rFonts w:ascii="Sylfaen" w:eastAsia="Times New Roman" w:hAnsi="Sylfaen" w:cs="Sylfaen"/>
          <w:b/>
          <w:bCs/>
          <w:noProof/>
          <w:lang w:val="ka-GE"/>
        </w:rPr>
        <w:t>მოხმარების მიხედვით</w:t>
      </w:r>
      <w:r w:rsidR="00A72494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3510"/>
      </w:tblGrid>
      <w:tr w:rsidR="00566DDA" w:rsidTr="00C27A8C">
        <w:tc>
          <w:tcPr>
            <w:tcW w:w="6768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2018</w:t>
            </w:r>
          </w:p>
        </w:tc>
        <w:tc>
          <w:tcPr>
            <w:tcW w:w="3510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112569 გ</w:t>
            </w:r>
          </w:p>
        </w:tc>
      </w:tr>
      <w:tr w:rsidR="00566DDA" w:rsidTr="00C27A8C">
        <w:tc>
          <w:tcPr>
            <w:tcW w:w="6768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2019 (2 კვარტალი)</w:t>
            </w:r>
          </w:p>
        </w:tc>
        <w:tc>
          <w:tcPr>
            <w:tcW w:w="3510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60277 გ</w:t>
            </w:r>
          </w:p>
        </w:tc>
      </w:tr>
      <w:tr w:rsidR="00266E6D" w:rsidTr="00C27A8C">
        <w:tc>
          <w:tcPr>
            <w:tcW w:w="6768" w:type="dxa"/>
          </w:tcPr>
          <w:p w:rsidR="00266E6D" w:rsidRDefault="00266E6D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ჯამი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172846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გ</w:t>
            </w:r>
          </w:p>
        </w:tc>
      </w:tr>
      <w:tr w:rsidR="00266E6D" w:rsidTr="00C27A8C">
        <w:tc>
          <w:tcPr>
            <w:tcW w:w="6768" w:type="dxa"/>
          </w:tcPr>
          <w:p w:rsidR="00266E6D" w:rsidRDefault="00C27A8C" w:rsidP="00C27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1 კვარტლის განმავლობაში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საშუალო მოხმარება 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(</w:t>
            </w:r>
            <w:r w:rsidR="00B95AF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6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კვარტ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ლის მონაცემებზე დაყრდნობით)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28807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 გ</w:t>
            </w:r>
          </w:p>
        </w:tc>
      </w:tr>
      <w:tr w:rsidR="00266E6D" w:rsidTr="00C27A8C">
        <w:tc>
          <w:tcPr>
            <w:tcW w:w="6768" w:type="dxa"/>
          </w:tcPr>
          <w:p w:rsidR="00266E6D" w:rsidRDefault="00266E6D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საშუალო წლიური (4 კვარტალი)</w:t>
            </w:r>
            <w:r w:rsidR="00C27A8C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 მოხმარება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115230 გ (115 კგ)</w:t>
            </w:r>
          </w:p>
        </w:tc>
      </w:tr>
      <w:tr w:rsidR="00266E6D" w:rsidTr="00C27A8C">
        <w:tc>
          <w:tcPr>
            <w:tcW w:w="6768" w:type="dxa"/>
          </w:tcPr>
          <w:p w:rsidR="00266E6D" w:rsidRDefault="00C27A8C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დაანგარისებისას კონვენციით გათვალის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წ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ი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ნებული +20%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138 კგ</w:t>
            </w:r>
          </w:p>
        </w:tc>
      </w:tr>
    </w:tbl>
    <w:p w:rsidR="00566DDA" w:rsidRDefault="00566DDA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p w:rsidR="00A72494" w:rsidRPr="00566DDA" w:rsidRDefault="00A72494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sectPr w:rsidR="00A72494" w:rsidRPr="00566DDA" w:rsidSect="0058299B">
      <w:pgSz w:w="12240" w:h="15840"/>
      <w:pgMar w:top="45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00C17"/>
    <w:multiLevelType w:val="hybridMultilevel"/>
    <w:tmpl w:val="143EFB90"/>
    <w:lvl w:ilvl="0" w:tplc="52E0E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9015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0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039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249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A8E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4D2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E6B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AD0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BD"/>
    <w:rsid w:val="001D0FAF"/>
    <w:rsid w:val="001D3939"/>
    <w:rsid w:val="00217021"/>
    <w:rsid w:val="00266E6D"/>
    <w:rsid w:val="002702F6"/>
    <w:rsid w:val="002E51F3"/>
    <w:rsid w:val="005417E3"/>
    <w:rsid w:val="00566DDA"/>
    <w:rsid w:val="0057293F"/>
    <w:rsid w:val="0058299B"/>
    <w:rsid w:val="005D0E91"/>
    <w:rsid w:val="006749FD"/>
    <w:rsid w:val="008E7EB2"/>
    <w:rsid w:val="00A72494"/>
    <w:rsid w:val="00AC6482"/>
    <w:rsid w:val="00AE5C17"/>
    <w:rsid w:val="00B2421E"/>
    <w:rsid w:val="00B35604"/>
    <w:rsid w:val="00B717F0"/>
    <w:rsid w:val="00B95AFD"/>
    <w:rsid w:val="00BA5A39"/>
    <w:rsid w:val="00BB3EE5"/>
    <w:rsid w:val="00BC3D14"/>
    <w:rsid w:val="00C27A8C"/>
    <w:rsid w:val="00D035DC"/>
    <w:rsid w:val="00E30922"/>
    <w:rsid w:val="00E520BD"/>
    <w:rsid w:val="00E662F9"/>
    <w:rsid w:val="00FB3744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D7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2F9"/>
    <w:pPr>
      <w:ind w:left="720"/>
      <w:contextualSpacing/>
    </w:pPr>
  </w:style>
  <w:style w:type="table" w:styleId="TableGrid">
    <w:name w:val="Table Grid"/>
    <w:basedOn w:val="TableNormal"/>
    <w:uiPriority w:val="59"/>
    <w:rsid w:val="0056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D7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2F9"/>
    <w:pPr>
      <w:ind w:left="720"/>
      <w:contextualSpacing/>
    </w:pPr>
  </w:style>
  <w:style w:type="table" w:styleId="TableGrid">
    <w:name w:val="Table Grid"/>
    <w:basedOn w:val="TableNormal"/>
    <w:uiPriority w:val="59"/>
    <w:rsid w:val="0056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386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277380599391604"/>
          <c:y val="3.2995758036772821E-2"/>
          <c:w val="0.67385473450434086"/>
          <c:h val="0.827036220472440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იმპორტი</c:v>
                </c:pt>
              </c:strCache>
            </c:strRef>
          </c:tx>
          <c:spPr>
            <a:ln>
              <a:solidFill>
                <a:schemeClr val="tx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2108843537414966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506-4218-AF81-E70825E4409D}"/>
                </c:ext>
              </c:extLst>
            </c:dLbl>
            <c:dLbl>
              <c:idx val="1"/>
              <c:layout>
                <c:manualLayout>
                  <c:x val="2.0408163265306121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506-4218-AF81-E70825E4409D}"/>
                </c:ext>
              </c:extLst>
            </c:dLbl>
            <c:dLbl>
              <c:idx val="4"/>
              <c:layout>
                <c:manualLayout>
                  <c:x val="-1.3391183244951524E-7"/>
                  <c:y val="1.3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506-4218-AF81-E70825E4409D}"/>
                </c:ext>
              </c:extLst>
            </c:dLbl>
            <c:dLbl>
              <c:idx val="5"/>
              <c:layout>
                <c:manualLayout>
                  <c:x val="2.3809523809523746E-2"/>
                  <c:y val="-2.0000000000000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506-4218-AF81-E70825E4409D}"/>
                </c:ext>
              </c:extLst>
            </c:dLbl>
            <c:dLbl>
              <c:idx val="6"/>
              <c:layout>
                <c:manualLayout>
                  <c:x val="3.7709405915606585E-2"/>
                  <c:y val="-3.1666666666666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8774101554613346E-2"/>
                      <c:h val="5.40167979002624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506-4218-AF81-E70825E4409D}"/>
                </c:ext>
              </c:extLst>
            </c:dLbl>
            <c:dLbl>
              <c:idx val="7"/>
              <c:layout>
                <c:manualLayout>
                  <c:x val="-5.3669493236422373E-2"/>
                  <c:y val="-3.3333333333333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506-4218-AF81-E70825E4409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141655.20000000001</c:v>
                </c:pt>
                <c:pt idx="1">
                  <c:v>215616</c:v>
                </c:pt>
                <c:pt idx="2">
                  <c:v>0</c:v>
                </c:pt>
                <c:pt idx="3">
                  <c:v>0</c:v>
                </c:pt>
                <c:pt idx="4">
                  <c:v>15091.8</c:v>
                </c:pt>
                <c:pt idx="5">
                  <c:v>78127.5</c:v>
                </c:pt>
                <c:pt idx="6">
                  <c:v>39130.6</c:v>
                </c:pt>
                <c:pt idx="7">
                  <c:v>108724.6</c:v>
                </c:pt>
                <c:pt idx="8">
                  <c:v>126440.2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06-4218-AF81-E70825E4409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მოხმარება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87074829931972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67E-421F-A380-17AF2BA4C475}"/>
                </c:ext>
              </c:extLst>
            </c:dLbl>
            <c:dLbl>
              <c:idx val="1"/>
              <c:layout>
                <c:manualLayout>
                  <c:x val="3.9115646258503403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506-4218-AF81-E70825E4409D}"/>
                </c:ext>
              </c:extLst>
            </c:dLbl>
            <c:dLbl>
              <c:idx val="3"/>
              <c:layout>
                <c:manualLayout>
                  <c:x val="1.020408163265306E-2"/>
                  <c:y val="0.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506-4218-AF81-E70825E4409D}"/>
                </c:ext>
              </c:extLst>
            </c:dLbl>
            <c:dLbl>
              <c:idx val="4"/>
              <c:layout>
                <c:manualLayout>
                  <c:x val="-1.339118325118728E-7"/>
                  <c:y val="6.6666666666666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506-4218-AF81-E70825E4409D}"/>
                </c:ext>
              </c:extLst>
            </c:dLbl>
            <c:dLbl>
              <c:idx val="5"/>
              <c:layout>
                <c:manualLayout>
                  <c:x val="-4.2517006802721087E-2"/>
                  <c:y val="6.3333333333333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506-4218-AF81-E70825E4409D}"/>
                </c:ext>
              </c:extLst>
            </c:dLbl>
            <c:dLbl>
              <c:idx val="6"/>
              <c:layout>
                <c:manualLayout>
                  <c:x val="-3.1495305875227253E-2"/>
                  <c:y val="-3.33333333333333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506-4218-AF81-E70825E4409D}"/>
                </c:ext>
              </c:extLst>
            </c:dLbl>
            <c:dLbl>
              <c:idx val="7"/>
              <c:layout>
                <c:manualLayout>
                  <c:x val="1.5306122448979591E-2"/>
                  <c:y val="1.3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E506-4218-AF81-E70825E4409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11387</c:v>
                </c:pt>
                <c:pt idx="1">
                  <c:v>143334.6</c:v>
                </c:pt>
                <c:pt idx="2">
                  <c:v>25565.1</c:v>
                </c:pt>
                <c:pt idx="3">
                  <c:v>51103.5</c:v>
                </c:pt>
                <c:pt idx="4">
                  <c:v>80628.600000000006</c:v>
                </c:pt>
                <c:pt idx="5">
                  <c:v>60942</c:v>
                </c:pt>
                <c:pt idx="6">
                  <c:v>42675.1</c:v>
                </c:pt>
                <c:pt idx="7">
                  <c:v>112569.7</c:v>
                </c:pt>
                <c:pt idx="8">
                  <c:v>60277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506-4218-AF81-E70825E4409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მოთხ; იმპ.</c:v>
                </c:pt>
              </c:strCache>
            </c:strRef>
          </c:tx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255</a:t>
                    </a:r>
                    <a:r>
                      <a:rPr lang="ka-GE"/>
                      <a:t>,4 კგ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8">
                  <c:v>255400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E506-4218-AF81-E70825E44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155200"/>
        <c:axId val="127606784"/>
      </c:barChart>
      <c:catAx>
        <c:axId val="14715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7606784"/>
        <c:crosses val="autoZero"/>
        <c:auto val="1"/>
        <c:lblAlgn val="ctr"/>
        <c:lblOffset val="100"/>
        <c:noMultiLvlLbl val="0"/>
      </c:catAx>
      <c:valAx>
        <c:axId val="127606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155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89677388652773"/>
          <c:y val="0.26122388451443568"/>
          <c:w val="0.15035599629544213"/>
          <c:h val="0.19673389390294882"/>
        </c:manualLayout>
      </c:layout>
      <c:overlay val="0"/>
      <c:txPr>
        <a:bodyPr/>
        <a:lstStyle/>
        <a:p>
          <a:pPr>
            <a:defRPr sz="1000" baseline="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200" baseline="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14</cp:revision>
  <cp:lastPrinted>2019-08-15T14:03:00Z</cp:lastPrinted>
  <dcterms:created xsi:type="dcterms:W3CDTF">2019-07-05T13:08:00Z</dcterms:created>
  <dcterms:modified xsi:type="dcterms:W3CDTF">2019-08-15T14:05:00Z</dcterms:modified>
</cp:coreProperties>
</file>